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1E" w:rsidRDefault="00110B1E"/>
    <w:p w:rsidR="005259B3" w:rsidRPr="005259B3" w:rsidRDefault="005259B3" w:rsidP="005259B3">
      <w:pPr>
        <w:shd w:val="clear" w:color="auto" w:fill="FFFFFF"/>
        <w:spacing w:after="180" w:line="360" w:lineRule="atLeast"/>
        <w:jc w:val="center"/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EUropean City Facility - Terzo bando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Titolo</w:t>
      </w:r>
    </w:p>
    <w:p w:rsidR="005259B3" w:rsidRPr="005259B3" w:rsidRDefault="005259B3" w:rsidP="005259B3">
      <w:pPr>
        <w:shd w:val="clear" w:color="auto" w:fill="FFFFFF"/>
        <w:spacing w:after="0" w:line="240" w:lineRule="auto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 xml:space="preserve">EUROPEAN CITY FACILITY - 3.rd call for </w:t>
      </w:r>
      <w:proofErr w:type="spellStart"/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proposalsGuidelines</w:t>
      </w:r>
      <w:proofErr w:type="spellEnd"/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 xml:space="preserve"> for Applicants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Fonte</w:t>
      </w:r>
    </w:p>
    <w:p w:rsidR="005259B3" w:rsidRPr="005259B3" w:rsidRDefault="005259B3" w:rsidP="005259B3">
      <w:pPr>
        <w:shd w:val="clear" w:color="auto" w:fill="FFFFFF"/>
        <w:spacing w:after="0" w:line="240" w:lineRule="auto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Commissione europea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Note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Lo </w:t>
      </w:r>
      <w:hyperlink r:id="rId5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European City Facility</w:t>
        </w:r>
      </w:hyperlink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(EUCF), istituito nell'ambito di Horizon 2020, apre il suo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terzo bando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destinato alle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municipalità e alle autorità locali europee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per sviluppare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 concepts di investimento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(</w:t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Investment Concepts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)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 relativi all'attuazione delle azioni contenute nei loro piani d'azione per il clima e l'energia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Partendo dalla considerazione che le municipalità e i loro raggruppamenti hanno un grande potenziale per costruire programmi globali di investimento nel settore dell'energia sostenibile, guidando la transizione verso la sostenibilità energetica, EUCF è stato creato per aiutare a superare due importanti ostacoli ai loro investimenti in energia sostenibile, ovvero: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- la mancanza di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capacità finanziaria e/o legale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da parte delle autorità locali per trasformare le proprie strategie energetiche e climatiche di lungo periodo (SEAP e SECAP) in solide idee di investimento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- la mancanza di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capacità di aggregazione tra piccoli progetti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(ad esempio nel settore delle costruzioni) e quindi la loro scarsa attrattività per il settore finanziario.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Con la definizione di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Investment concepts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si fa riferimento a un documento che traduce un'idea di progetto di investimento in linguaggio finanziario, al fine di mobilitare finanziamenti per la sua realizzazione (il </w:t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template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è disponibile </w:t>
      </w:r>
      <w:hyperlink r:id="rId6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qui</w:t>
        </w:r>
      </w:hyperlink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). Il suo scopo è di fornire agli investitori e alle istituzioni finanziarie le informazioni necessarie per valutare un progetto di investimento in modo semplice e veloce e di trasformare i piani climatici ed energetici in solidi pacchetti di investimento, facilitando l'accesso ai finanziamenti per municipalità/enti locali ed enti pubblici locali che li aggregano.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Destinatari del bando sono tutte le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 municipalità/autorità locali, i loro raggruppamenti e gli enti pubblici locali che li riuniscono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degli Stati membri dell'UE, degli Stati EFTA/SEE (Islanda, Liechtenstein e Norvegia) e del Regno Unito che: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 hanno un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piano per il clima e l’energia approvato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(compresi i Piani d'azione per l'energia sostenibile -PAES, elaborati nell'ambito del </w:t>
      </w:r>
      <w:hyperlink r:id="rId7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Patto dei sindaci</w:t>
        </w:r>
      </w:hyperlink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e altri piani con la stessa ambizione),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dimostrano un impegno politico per lo sviluppo del concept di investmento proposto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(ad es. attraverso una lettera di sostegno, firmata dal sindaco/altro rappresentante politico).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contributo finanziario è fisso e ammonta a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 60.000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con i quali sarà sostenuta l'ideazione di concept di investimento nel settore dell'energia sostenibile, compresi quelli sul lato della domanda di energia, che contribuiscono a migliorare il rendimento energetico e conseguire risparmi energetici. L'importo della sovvenzione può essere utilizzato per il personale interno se le capacità interne sono sufficienti, per esperti esterni/subappaltatori o per altre posizioni necessarie per lo sviluppo del concept di investimento.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Settori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 target prioritari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edifici pubblici, edifici residenziali ed edifici </w:t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terziari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(non municipali), miglioramento dell'efficienza di attrezzature/impianti, sviluppo e uso di energie rinnovabili integrate nell'edilizia, ammodernamento del teleriscaldamento, passaggio a fonti rinnovabili per il combustibile, reti intelligenti, mobilità urbana sostenibile (ad es. trasporti pubblici, stazioni di ricarica, ecc.) e infrastrutture energetiche innovative (ad es. comunità energetiche dei cittadini, approcci innovativi all'illuminazione pubblica, impianti di trattamento delle acque reflue).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Concretamente il sostegno del progetto andrà a finanziare le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attività necessarie allo sviluppo del piano di attrazione di investimenti per questi progetti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(quali studi di fattibilità, analisi ingegneristiche, analisi giuridiche, studi sociali, studi di mercato, analisi finanziarie e altre attività di supporto).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terzo bando, come il </w:t>
      </w:r>
      <w:hyperlink r:id="rId8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secondo</w:t>
        </w:r>
      </w:hyperlink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ha un budget di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4,14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che finanzieranno altre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69 proposte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suddivise in 3 zone geografiche: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- Europa centrale: 1,56 milioni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 Paesi del Nord e Europa occidentale: 1,44 milioni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 Europa meridionale (che comprende l’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Italia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): 1,14 milioni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L’invito resterà aperto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dal 15 ottobre al 17 dicembre 2021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A questo terzo bando ne seguirà un quarto (ed ultimo) in maggio-giugno 2022.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Un proponente non può ottenere più di una sovvenzione su questo strumento, ma un progetto non finanziato può essere riproposto in un invito successivo.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Informazioni più dettagliate </w:t>
      </w:r>
      <w:hyperlink r:id="rId9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qui</w:t>
        </w:r>
      </w:hyperlink>
    </w:p>
    <w:p w:rsidR="005259B3" w:rsidRPr="005259B3" w:rsidRDefault="005259B3" w:rsidP="005259B3">
      <w:pPr>
        <w:shd w:val="clear" w:color="auto" w:fill="C7E1F1"/>
        <w:spacing w:before="180" w:after="6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Aree Geografiche</w:t>
      </w:r>
    </w:p>
    <w:p w:rsidR="005259B3" w:rsidRPr="005259B3" w:rsidRDefault="005259B3" w:rsidP="005259B3">
      <w:pPr>
        <w:shd w:val="clear" w:color="auto" w:fill="FFFFFF"/>
        <w:spacing w:after="0" w:line="240" w:lineRule="auto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UK-Regno Unito di Gran Bretagna e Irlanda del Nord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UE 27 (post Brexit)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- Austria, Belgio, Bulgaria, Cechia, Cipro, Croazia, Danimarca, Estonia, Finlandia, Francia, Germania, Grecia, Irlanda, Italia, Lettonia, Lituania, Lussemburgo, Malta, Olanda, Polonia, Portogallo, Romania, Slovacchia, Slovenia, Spagna, Svezia, Ungheria.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EFTA/SEE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- Norvegia, Islanda e Liechtenstein.</w:t>
      </w:r>
    </w:p>
    <w:p w:rsidR="005259B3" w:rsidRPr="005259B3" w:rsidRDefault="005259B3">
      <w:pPr>
        <w:rPr>
          <w:rFonts w:ascii="Bookman Old Style" w:hAnsi="Bookman Old Style"/>
          <w:sz w:val="28"/>
          <w:szCs w:val="28"/>
        </w:rPr>
      </w:pPr>
    </w:p>
    <w:p w:rsidR="005259B3" w:rsidRPr="005259B3" w:rsidRDefault="005259B3" w:rsidP="005259B3">
      <w:pPr>
        <w:shd w:val="clear" w:color="auto" w:fill="FFFFFF"/>
        <w:spacing w:after="180" w:line="360" w:lineRule="atLeast"/>
        <w:jc w:val="center"/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Interreg Central Europe 2021-2027 - Anticipazioni sul primo bando **aggiornato il 21/10/2021**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Note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E’ attesa a breve (ottobre/novembre) l’apertura del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primo bando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del nuovo programma di Cooperazione Territoriale Europea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Interreg Central Europe 2021-2027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programma, che sta per essere definitivamente approvato, avrà una dotazione complessiva di circa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225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di fondi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FESR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e interesserà i territori di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9 Stati UE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ovvero l’intero territorio di Austria, Croazia, Polonia, Repubblica Ceca, Slovenia, Slovacchia e Ungheria, 8 land e 1 regione della Germania (Baden-Württemberg, Bayern, Berlin, Brandenburg, Mecklenburg, Vorpommern, Sachsen, Sachsen-Anhalt, Thüringen e la regione di Braunschweig) e 9 regioni dell’Italia (Piemonte, Valle d’Aosta, Lombardia, Liguria, Emilia-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Romagna, Veneto, Friuli Venezia Giulia, Provincia Autonoma di Trento, Provincia Autonoma di Bolzano).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Relativamente al primo bando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sul sito del programma si anticipa che sarà dotato di un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budget indicativo di 72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per finanziare progetti di cooperazione transnazionale incentrati su nove obiettivi specifici compresi nell’ambito delle quattro seguenti priorità del programma:</w:t>
      </w:r>
    </w:p>
    <w:p w:rsidR="005259B3" w:rsidRPr="005259B3" w:rsidRDefault="005259B3" w:rsidP="005259B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 xml:space="preserve">Cooperating for a smarter Central </w:t>
      </w:r>
      <w:proofErr w:type="spellStart"/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europe</w:t>
      </w:r>
      <w:proofErr w:type="spellEnd"/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 xml:space="preserve">. 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Su questa priorità vengono stanziati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22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per sostenere progetti che migliorano le capacità di innovazione e incoraggiano l’adozione di tecnologie avanzate, nonché progetti che sviluppano abilità e competenze per la specializzazione intelligente, la transizione industriale e l’imprenditorialità.</w:t>
      </w:r>
    </w:p>
    <w:p w:rsidR="005259B3" w:rsidRPr="005259B3" w:rsidRDefault="005259B3" w:rsidP="005259B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Cooperating for a greener Central Europe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 xml:space="preserve">. 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Con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36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questa priorità andrà a finanziare progetti che affrontano le sfide ambientali in Europa centrale e aiutano ad accrescere l’efficienza energetica e l’uso di energie rinnovabili, nonché progetti che promuovono la mobilità urbana sostenibile.</w:t>
      </w:r>
    </w:p>
    <w:p w:rsidR="005259B3" w:rsidRPr="005259B3" w:rsidRDefault="005259B3" w:rsidP="005259B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Cooperating for a better connected Central Europe.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Questa priorità mette in campo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7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da destinare a progetti che migliorano i collegamenti di trasporto delle regioni rurali e periferiche dell’Europa centrale e potenziano il trasporto sostenibile, intelligente e intermodale, incluso i collegamenti ai corridoi TEN-T.</w:t>
      </w:r>
    </w:p>
    <w:p w:rsidR="005259B3" w:rsidRPr="005259B3" w:rsidRDefault="005259B3" w:rsidP="005259B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Improving governance for cooperation in Central Europe.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Su questa priorità vengono stanziati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7 milioni di euro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per sostenere progetti che migliorano le capacità delle autorità pubbliche a tutti i livelli di stabilire e implementare strategie integrate di sviluppo territoriale attraverso la cooperazione.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bando sarà rivolto a enti pubblici nazionali, regionali e locali, imprese e istituzioni private, organizzazioni internazionali. I progetti dovranno essere realizzati da una partnership di almeno 3 soggetti provenienti da 3 diversi Paesi, di cui almeno 2 devono provenire dai territori ammissibili al programma.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Per maggiori informazioni: </w:t>
      </w:r>
      <w:hyperlink r:id="rId10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sito web Interreg Central Europe</w:t>
        </w:r>
      </w:hyperlink>
    </w:p>
    <w:p w:rsidR="005259B3" w:rsidRPr="005259B3" w:rsidRDefault="005259B3" w:rsidP="005259B3">
      <w:pPr>
        <w:shd w:val="clear" w:color="auto" w:fill="FFFFFF"/>
        <w:spacing w:after="180" w:line="360" w:lineRule="atLeast"/>
        <w:jc w:val="center"/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lastRenderedPageBreak/>
        <w:t>LIFE 2021-2027 – Sottoprogramma Transizione all’energia pulita - Bando azioni di coordinamento e di sostegno (CSA)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it-IT"/>
        </w:rPr>
      </w:pPr>
      <w:proofErr w:type="spellStart"/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it-IT"/>
        </w:rPr>
        <w:t>Titolo</w:t>
      </w:r>
      <w:proofErr w:type="spellEnd"/>
    </w:p>
    <w:p w:rsidR="005259B3" w:rsidRPr="005259B3" w:rsidRDefault="005259B3" w:rsidP="005259B3">
      <w:pPr>
        <w:shd w:val="clear" w:color="auto" w:fill="FFFFFF"/>
        <w:spacing w:after="0" w:line="240" w:lineRule="auto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proofErr w:type="spellStart"/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Programme</w:t>
      </w:r>
      <w:proofErr w:type="spellEnd"/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 xml:space="preserve"> for the Environment and Climate Action (LIFE) - Call for proposals: LIFE Clean Energy Transition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Oggetto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Bando per azioni di coordinamento e di sostegno (CSA) nel quadro del sottoprogramma Transizione all’energia pulita, volto a facilitare la transizione verso un'economia efficiente dal punto di vista energetico, basata sull'energia rinnovabile, climaticamente neutra e resiliente.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Fonte</w:t>
      </w:r>
    </w:p>
    <w:p w:rsidR="005259B3" w:rsidRPr="005259B3" w:rsidRDefault="005259B3" w:rsidP="005259B3">
      <w:pPr>
        <w:shd w:val="clear" w:color="auto" w:fill="FFFFFF"/>
        <w:spacing w:after="0" w:line="240" w:lineRule="auto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Commissione europea LIFE-2021-CET del 15/7/2021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Ente Erogatore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Commissione europea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Obiettivo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sottoprogramma Transizione all’energia pulita ha i seguenti obiettivi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- sviluppare, dimostrare e promuovere tecniche, metodi e approcci innovativi per raggiungere gli obiettivi della legislazione e della politica dell'UE sulla transizione verso l'energia rinnovabile sostenibile e una maggiore efficienza energetica e contribuire alla base di conoscenze e all'applicazione delle migliori pratiche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 sostenere lo sviluppo, l'attuazione, il monitoraggio e l'applicazione della legislazione e della politica dell'UE sulla transizione verso l'energia rinnovabile sostenibile o una maggiore efficienza energetica, anche migliorando la governance a tutti i livelli, in particolare rafforzando le capacità degli attori pubblici e privati e il coinvolgimento della società civile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 catalizzare la diffusione su larga scala di soluzioni tecniche e politiche di successo per l'attuazione della legislazione dell'UE sulla transizione verso l'energia rinnovabile o una maggiore efficienza energetica replicando i risultati, integrando gli obiettivi correlati in altre politiche e nelle pratiche del settore pubblico e privato, mobilitando investimenti e migliorando l'accesso ai finanziamenti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Azioni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Il bando finanzia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azioni di coordinamento e sostegno (CSA)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che sono azione ad elevato valore aggiunto tese a rompere le barriere del mercato che ostacolano la transizione socioeconomica verso l'energia sostenibile, coinvolgendo in genere più parti interessate di piccole e medie dimensioni, più attori tra cui autorità pubbliche locali e regionali e organizzazioni senza scopo di lucro, nonché i consumatori.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bando riguarda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18 topic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 per ognuno dei quali sarà finanziata una sola proposta progettuale.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 topic sono raggruppati nell’ambito di 5 temi.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Tema 1: Costruire un quadro politico nazionale, regionale e locale a sostegno della transizione verso l'energia pulita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Topic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LIFE-2021-CET-LOCAL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: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Supporto tecnico ai piani e alle strategie di transizione verso l'energia pulita nei comuni e nelle regioni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LIFE-2021-CET-POLICY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: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Verso un'efficace attuazione della legislazione chiave nel campo dell'energia sostenibile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Ambiti d’azione: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A. Supporto all’implementazione della direttiva sull’efficienza energetica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B. Supporto all’implementazione della direttiva sull’energia rinnovabile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LIFE-2021-CET-GOV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: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Dialogo multilivello su clima ed energia per garantire la governance dell'energia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Tema 2: Accelerare il roll-out tecnologico, la digitalizzazione, nuovi servizi e modelli di business e la valorizzazione delle competenze professionali collegate sul mercato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Topic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LIFE-2021-CET-BUILDRENO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Lancio su larga scala di soluzioni industrializzate di ristrutturazione profonda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 L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IFE-2021-CET-AUDITS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: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Recepimento delle raccomandazioni sugli audit energetici per la transizione energetica delle aziende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-</w:t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LIFE-2021-CET-VALUECHAIN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Promuovere l'assorbimento di energia sostenibile lungo l'intera catena del valore nell'industria e nei servizi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LIFE-2021-CET-BUILDSKILLS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BUILD UP Skills: riavviare le piattaforme nazionali e le Roadmap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LIFE-2021-CET-COOLING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Affrontare l'aumento della domanda di raffrescamento degli edifici nei prossimi anni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LIFE-2021-CET-SMARTSERV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Stabilire modelli di business innovativi e meccanismi contrattuali per servizi energetici intelligenti e di integrazione del settore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LIFE-2021-CET-SMARTREADY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Creare le condizioni per un miglioramento globale della preparazione intelligente degli edifici europei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Tema 3: Attrarre finanziamenti privati per l'energia sostenibile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Topic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LIFE-2021-CET-MAINSTREAM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Rendere ordinario il finanziamento dell'energia sostenibile e integrare le prestazioni energetiche nei criteri e negli standard di finanziamento sostenibile dell'UE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LIFE-2021-CET-INNOFIN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Schemi di finanziamento innovativi per investimenti nell'energia sostenibile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Tema 4. Sostenere lo sviluppo di progetti di investimento locali e regionali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i/>
          <w:iCs/>
          <w:sz w:val="28"/>
          <w:szCs w:val="28"/>
          <w:lang w:eastAsia="it-IT"/>
        </w:rPr>
        <w:t>Topic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LIFE-2021-CET-HOMERENO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Servizi integrati di ristrutturazione delle abitazioni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LIFE-2021-CET-HOMERECOM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Comunità a livello i UE di professionisti “dei servizi integrati di ristrutturazione di abitazioni”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LIFE-2021-CET-COALREGIONS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: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Transizione all'energia pulita guidata dalla comunità nelle regioni del carbone, della torba e degli scisti bituminosi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LIFE-2021-CET-PDA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PDA (Assistenza allo sviluppo di progetti) eccezionale – Assistenza tecnica per far avanzare i confini del mercato per investimenti energetici sostenibili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 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lastRenderedPageBreak/>
        <w:t>Tema 5: Coinvolgere e responsabilizzare i cittadini nella transizione verso l'energia pulita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Topic: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LIFE-2021-CET-ENERPOV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Affrontare gli interventi negli edifici per i distretti vulnerabili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- </w:t>
      </w:r>
      <w:r w:rsidRPr="005259B3">
        <w:rPr>
          <w:rFonts w:ascii="Bookman Old Style" w:eastAsia="Times New Roman" w:hAnsi="Bookman Old Style" w:cs="Lucida Sans Unicode"/>
          <w:b/>
          <w:bCs/>
          <w:i/>
          <w:iCs/>
          <w:sz w:val="28"/>
          <w:szCs w:val="28"/>
          <w:lang w:eastAsia="it-IT"/>
        </w:rPr>
        <w:t>LIFE-2021-CET-ENERCOM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: Sviluppare meccanismi di sostegno per le comunità energetiche e altre iniziative guidate dai cittadini nel campo della sostenibilità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 contenuti e i requisiti stabiliti per i singoli topic sono dettagliati nel testo della </w:t>
      </w:r>
      <w:hyperlink r:id="rId11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call</w:t>
        </w:r>
      </w:hyperlink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Beneficiari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Persone giuridiche, pubbliche e private, stabilite in uno dei Paesi ammissibili a LIFE, ovvero Stati UE, compresi PTOM, e alcuni altri paesi (l'elenco aggiornato è scaricabile </w:t>
      </w:r>
      <w:hyperlink r:id="rId12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qui</w:t>
        </w:r>
      </w:hyperlink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); organizzazioni internazionali.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  <w:t>Per la gran parte dei topic una proposta progettuale deve essere presentata da un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partenariato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di almeno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3 beneficiari di 3 diversi Stati ammissibili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. Fanno eccezione i topic: LIFE-2021-CET-BUILDSKILLS, LIFE-2021-CET-PDA e LIFE-2021-CET-HOMERENO per i quali una proposta progettuale può essere presentata dal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solo proponente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Entità Contributo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Il contributo UE può coprire fio al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95%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dei costi del progetto, per un valore massimo pari al budget del topic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Modalità e procedura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Ognuno dei topic prevede documentazione specifica per la presentazione di una proposta progettuale.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Oltre alla documentazione ufficiale di riferimento CINEA ha preparato delle registrazioni e della documentazione di approfondimento dedicata ai potenziali proponenti per illustrare i contenuti del bando, disponibile sulla </w:t>
      </w:r>
      <w:hyperlink r:id="rId13" w:anchor="ecl-inpage-1777" w:history="1">
        <w:r w:rsidRPr="005259B3">
          <w:rPr>
            <w:rFonts w:ascii="Bookman Old Style" w:eastAsia="Times New Roman" w:hAnsi="Bookman Old Style" w:cs="Lucida Sans Unicode"/>
            <w:sz w:val="28"/>
            <w:szCs w:val="28"/>
            <w:u w:val="single"/>
            <w:lang w:eastAsia="it-IT"/>
          </w:rPr>
          <w:t>pagina web</w:t>
        </w:r>
      </w:hyperlink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del bando (le informazioni di approfondimento sono specifiche per ogni topic).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Scadenza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12 gennaio 2022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,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ore 17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(ora di Bruxelles)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Referente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CINEA - Agenzia esecutiva europea per il clima, le infrastrutture e l’ambiente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Portale Funding &amp; tender della Commissione europea</w:t>
      </w:r>
    </w:p>
    <w:p w:rsidR="005259B3" w:rsidRPr="005259B3" w:rsidRDefault="005259B3" w:rsidP="005259B3">
      <w:pPr>
        <w:shd w:val="clear" w:color="auto" w:fill="EFEFEF"/>
        <w:spacing w:before="180" w:after="6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Risorse finanziarie disponibili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LIFE-2021-CET-LOCAL: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EUR 7.000.000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LIFE-2021-CET-POLICY: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6.000.000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LIFE-2021-CET-GOV: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5.500.000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LIFE-2021-CET-BUILDRENO: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6.000.000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LIFE-2021-CET-AUDITS: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 EUR 5.500.000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LIFE-2021-CET-VALUECHAIN: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EUR 4.000.000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LIFE-2021-CET-BUILDSKILLS: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 EUR 6.000.000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LIFE-2021-CET-COOLING: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4.000.000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LIFE-2021-CET-SMARTSERV: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 EUR 4.000.000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LIFE-2021-CET-SMARTREADY: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 EUR 6.000.000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LIFE-2021-CET-MAINSTREAM: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5.500.000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LIFE-2021-CET-INNOFIN: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 EUR 5.500.000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LIFE-2021-CET-HOMERENO: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6.000.000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LIFE-2021-CET-HOMERECOM: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 EUR 2.000.000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LIFE-2021-CET-COALREGIONS: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3.000.000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LIFE-2021-CET-PDA: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6.000.000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LIFE-2021-CET-ENERPOV: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5.500.000</w:t>
      </w:r>
    </w:p>
    <w:p w:rsidR="005259B3" w:rsidRPr="005259B3" w:rsidRDefault="005259B3" w:rsidP="005259B3">
      <w:pPr>
        <w:shd w:val="clear" w:color="auto" w:fill="FFFFFF"/>
        <w:spacing w:after="180" w:line="360" w:lineRule="atLeast"/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</w:pPr>
      <w:r w:rsidRPr="005259B3">
        <w:rPr>
          <w:rFonts w:ascii="Bookman Old Style" w:eastAsia="Times New Roman" w:hAnsi="Bookman Old Style" w:cs="Lucida Sans Unicode"/>
          <w:sz w:val="28"/>
          <w:szCs w:val="28"/>
          <w:lang w:val="en-US" w:eastAsia="it-IT"/>
        </w:rPr>
        <w:t>LIFE-2021-CET-ENERCOM: </w:t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val="en-US" w:eastAsia="it-IT"/>
        </w:rPr>
        <w:t>EUR 7.000.000</w:t>
      </w:r>
    </w:p>
    <w:p w:rsidR="005259B3" w:rsidRPr="005259B3" w:rsidRDefault="005259B3" w:rsidP="005259B3">
      <w:pPr>
        <w:shd w:val="clear" w:color="auto" w:fill="C7E1F1"/>
        <w:spacing w:before="180" w:after="6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Times New Roman"/>
          <w:b/>
          <w:bCs/>
          <w:sz w:val="28"/>
          <w:szCs w:val="28"/>
          <w:lang w:eastAsia="it-IT"/>
        </w:rPr>
        <w:t>Aree Geografiche</w:t>
      </w:r>
    </w:p>
    <w:p w:rsidR="005259B3" w:rsidRPr="005259B3" w:rsidRDefault="005259B3" w:rsidP="005259B3">
      <w:pPr>
        <w:shd w:val="clear" w:color="auto" w:fill="FFFFFF"/>
        <w:spacing w:after="0" w:line="240" w:lineRule="auto"/>
        <w:rPr>
          <w:rFonts w:ascii="Bookman Old Style" w:eastAsia="Times New Roman" w:hAnsi="Bookman Old Style" w:cs="Lucida Sans Unicode"/>
          <w:sz w:val="28"/>
          <w:szCs w:val="28"/>
          <w:lang w:eastAsia="it-IT"/>
        </w:rPr>
      </w:pP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UE 27 (post Brexit)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> - Austria, Belgio, Bulgaria, Cechia, Cipro, Croazia, Danimarca, Estonia, Finlandia, Francia, Germania, Grecia, Irlanda, Italia, Lettonia, Lituania, Lussemburgo, Malta, Olanda, Polonia, Portogallo, Romania, Slovacchia, Slovenia, Spagna, Svezia, Ungheria.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br/>
      </w:r>
      <w:r w:rsidRPr="005259B3">
        <w:rPr>
          <w:rFonts w:ascii="Bookman Old Style" w:eastAsia="Times New Roman" w:hAnsi="Bookman Old Style" w:cs="Lucida Sans Unicode"/>
          <w:b/>
          <w:bCs/>
          <w:sz w:val="28"/>
          <w:szCs w:val="28"/>
          <w:lang w:eastAsia="it-IT"/>
        </w:rPr>
        <w:t>PTOM 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t xml:space="preserve">- Paesi e Territori d'Oltremare: Paesi, territori e collettività che </w:t>
      </w:r>
      <w:r w:rsidRPr="005259B3">
        <w:rPr>
          <w:rFonts w:ascii="Bookman Old Style" w:eastAsia="Times New Roman" w:hAnsi="Bookman Old Style" w:cs="Lucida Sans Unicode"/>
          <w:sz w:val="28"/>
          <w:szCs w:val="28"/>
          <w:lang w:eastAsia="it-IT"/>
        </w:rPr>
        <w:lastRenderedPageBreak/>
        <w:t>non sono sovrani ma dipendono in misura diversa dai tre Stati membri con i quali mantengono legami speciali, ovvero 1.Olanda: Aruba, Bonaire, Curaçao, Saba, Sint Eustatius, Sint Maarten; 2. Francia: Nuova Caledonia, Polinesia francese, Terre australi e antartiche francesi, Isole di Wallis e Futuna, Saint Pierre e Miquelon, Saint Barthélemy; 3. Danimarca: Groenlandia</w:t>
      </w:r>
    </w:p>
    <w:p w:rsidR="005259B3" w:rsidRPr="005259B3" w:rsidRDefault="005259B3">
      <w:pPr>
        <w:rPr>
          <w:rFonts w:ascii="Bookman Old Style" w:hAnsi="Bookman Old Style"/>
          <w:sz w:val="28"/>
          <w:szCs w:val="28"/>
        </w:rPr>
      </w:pPr>
    </w:p>
    <w:sectPr w:rsidR="005259B3" w:rsidRPr="005259B3" w:rsidSect="00110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010"/>
    <w:multiLevelType w:val="multilevel"/>
    <w:tmpl w:val="2B388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259B3"/>
    <w:rsid w:val="00110B1E"/>
    <w:rsid w:val="0052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B1E"/>
  </w:style>
  <w:style w:type="paragraph" w:styleId="Titolo3">
    <w:name w:val="heading 3"/>
    <w:basedOn w:val="Normale"/>
    <w:link w:val="Titolo3Carattere"/>
    <w:uiPriority w:val="9"/>
    <w:qFormat/>
    <w:rsid w:val="00525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259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59B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259B3"/>
    <w:rPr>
      <w:b/>
      <w:bCs/>
    </w:rPr>
  </w:style>
  <w:style w:type="character" w:styleId="Enfasicorsivo">
    <w:name w:val="Emphasis"/>
    <w:basedOn w:val="Carpredefinitoparagrafo"/>
    <w:uiPriority w:val="20"/>
    <w:qFormat/>
    <w:rsid w:val="00525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facile.net/Scheda/Bando/34861" TargetMode="External"/><Relationship Id="rId13" Type="http://schemas.openxmlformats.org/officeDocument/2006/relationships/hyperlink" Target="https://cinea.ec.europa.eu/life/life-calls-proposals_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ttodeisindaci.eu/" TargetMode="External"/><Relationship Id="rId12" Type="http://schemas.openxmlformats.org/officeDocument/2006/relationships/hyperlink" Target="https://ec.europa.eu/info/funding-tenders/opportunities/docs/2021-2027/life/guidance/list-3rd-country-participation_life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cityfacility.eu/investment-concepts/investment-concept-template.html" TargetMode="External"/><Relationship Id="rId11" Type="http://schemas.openxmlformats.org/officeDocument/2006/relationships/hyperlink" Target="https://ec.europa.eu/info/funding-tenders/opportunities/docs/2021-2027/life/wp-call/2021-2024/call-fiche_life-2021-cet_en.pdf" TargetMode="External"/><Relationship Id="rId5" Type="http://schemas.openxmlformats.org/officeDocument/2006/relationships/hyperlink" Target="https://www.eucityfacility.eu/hom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terreg-central.eu/Content.Node/apply/newfund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cityfacility.eu/apply-for-eucf-support/open-and-previous-call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2503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2021-10-26T07:38:00Z</dcterms:created>
  <dcterms:modified xsi:type="dcterms:W3CDTF">2021-10-26T07:49:00Z</dcterms:modified>
</cp:coreProperties>
</file>